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jederzeit</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r>
    </w:p>
    <w:p w:rsidR="00000000" w:rsidDel="00000000" w:rsidP="00000000" w:rsidRDefault="00000000" w:rsidRPr="00000000" w14:paraId="0000000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1"/>
        <w:tabs>
          <w:tab w:val="left" w:leader="none" w:pos="3401.574803149606"/>
        </w:tabs>
        <w:rPr>
          <w:rFonts w:ascii="Source Sans 3" w:cs="Source Sans 3" w:eastAsia="Source Sans 3" w:hAnsi="Source Sans 3"/>
          <w:color w:val="1c4587"/>
        </w:rPr>
      </w:pPr>
      <w:bookmarkStart w:colFirst="0" w:colLast="0" w:name="_fwowrmrm813t" w:id="0"/>
      <w:bookmarkEnd w:id="0"/>
      <w:r w:rsidDel="00000000" w:rsidR="00000000" w:rsidRPr="00000000">
        <w:rPr>
          <w:rFonts w:ascii="Source Sans 3" w:cs="Source Sans 3" w:eastAsia="Source Sans 3" w:hAnsi="Source Sans 3"/>
          <w:color w:val="1c4587"/>
          <w:rtl w:val="0"/>
        </w:rPr>
        <w:t xml:space="preserve">Kurz &amp; kompakt: der Zitronenfalter</w:t>
      </w:r>
    </w:p>
    <w:p w:rsidR="00000000" w:rsidDel="00000000" w:rsidP="00000000" w:rsidRDefault="00000000" w:rsidRPr="00000000" w14:paraId="00000005">
      <w:pPr>
        <w:spacing w:after="200" w:lineRule="auto"/>
        <w:rPr>
          <w:rFonts w:ascii="Source Sans 3" w:cs="Source Sans 3" w:eastAsia="Source Sans 3" w:hAnsi="Source Sans 3"/>
          <w:i w:val="1"/>
          <w:iCs w:val="1"/>
        </w:rPr>
      </w:pPr>
      <w:r w:rsidDel="00000000" w:rsidR="00000000" w:rsidRPr="00000000">
        <w:rPr>
          <w:rFonts w:ascii="Source Sans 3 SemiBold" w:cs="Source Sans 3 SemiBold" w:eastAsia="Source Sans 3 SemiBold" w:hAnsi="Source Sans 3 SemiBold"/>
          <w:rtl w:val="0"/>
        </w:rPr>
        <w:t xml:space="preserve">Wissenschaftlicher Name:</w:t>
      </w:r>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i w:val="1"/>
          <w:iCs w:val="1"/>
          <w:rtl w:val="0"/>
        </w:rPr>
        <w:t xml:space="preserve">Gonepteryx rhamni</w:t>
      </w:r>
    </w:p>
    <w:p w:rsidR="00000000" w:rsidDel="00000000" w:rsidP="00000000" w:rsidRDefault="00000000" w:rsidRPr="00000000" w14:paraId="00000006">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Familie:</w:t>
      </w:r>
      <w:r w:rsidDel="00000000" w:rsidR="00000000" w:rsidRPr="00000000">
        <w:rPr>
          <w:rFonts w:ascii="Source Sans 3" w:cs="Source Sans 3" w:eastAsia="Source Sans 3" w:hAnsi="Source Sans 3"/>
          <w:rtl w:val="0"/>
        </w:rPr>
        <w:t xml:space="preserve"> Weißlinge (Pieridae)</w:t>
      </w:r>
    </w:p>
    <w:p w:rsidR="00000000" w:rsidDel="00000000" w:rsidP="00000000" w:rsidRDefault="00000000" w:rsidRPr="00000000" w14:paraId="00000007">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Spannweite:</w:t>
      </w:r>
      <w:r w:rsidDel="00000000" w:rsidR="00000000" w:rsidRPr="00000000">
        <w:rPr>
          <w:rFonts w:ascii="Source Sans 3" w:cs="Source Sans 3" w:eastAsia="Source Sans 3" w:hAnsi="Source Sans 3"/>
          <w:rtl w:val="0"/>
        </w:rPr>
        <w:t xml:space="preserve"> 50–55 mm (selten bis 65 mm)</w:t>
      </w:r>
    </w:p>
    <w:p w:rsidR="00000000" w:rsidDel="00000000" w:rsidP="00000000" w:rsidRDefault="00000000" w:rsidRPr="00000000" w14:paraId="00000008">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Flugzeit:</w:t>
      </w:r>
      <w:r w:rsidDel="00000000" w:rsidR="00000000" w:rsidRPr="00000000">
        <w:rPr>
          <w:rFonts w:ascii="Source Sans 3" w:cs="Source Sans 3" w:eastAsia="Source Sans 3" w:hAnsi="Source Sans 3"/>
          <w:rtl w:val="0"/>
        </w:rPr>
        <w:t xml:space="preserve"> fast ganzjährig, mit Aktivitätsphasen im Frühjahr, Sommer und Herbst</w:t>
      </w:r>
    </w:p>
    <w:p w:rsidR="00000000" w:rsidDel="00000000" w:rsidP="00000000" w:rsidRDefault="00000000" w:rsidRPr="00000000" w14:paraId="00000009">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Überwinterung:</w:t>
      </w:r>
      <w:r w:rsidDel="00000000" w:rsidR="00000000" w:rsidRPr="00000000">
        <w:rPr>
          <w:rFonts w:ascii="Source Sans 3" w:cs="Source Sans 3" w:eastAsia="Source Sans 3" w:hAnsi="Source Sans 3"/>
          <w:rtl w:val="0"/>
        </w:rPr>
        <w:t xml:space="preserve"> als erwachsener Falter</w:t>
      </w:r>
    </w:p>
    <w:p w:rsidR="00000000" w:rsidDel="00000000" w:rsidP="00000000" w:rsidRDefault="00000000" w:rsidRPr="00000000" w14:paraId="0000000A">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Raupennahrung:</w:t>
      </w:r>
      <w:r w:rsidDel="00000000" w:rsidR="00000000" w:rsidRPr="00000000">
        <w:rPr>
          <w:rFonts w:ascii="Source Sans 3" w:cs="Source Sans 3" w:eastAsia="Source Sans 3" w:hAnsi="Source Sans 3"/>
          <w:rtl w:val="0"/>
        </w:rPr>
        <w:t xml:space="preserve"> Faulbaum und Kreuzdorn; ggf. auch Liguster oder Gewöhnliche Traubenkirsche (Fachleute sind sich diesbezüglich nicht einig)</w:t>
      </w:r>
    </w:p>
    <w:p w:rsidR="00000000" w:rsidDel="00000000" w:rsidP="00000000" w:rsidRDefault="00000000" w:rsidRPr="00000000" w14:paraId="0000000B">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Nahrung der Falter:</w:t>
      </w:r>
      <w:r w:rsidDel="00000000" w:rsidR="00000000" w:rsidRPr="00000000">
        <w:rPr>
          <w:rFonts w:ascii="Source Sans 3" w:cs="Source Sans 3" w:eastAsia="Source Sans 3" w:hAnsi="Source Sans 3"/>
          <w:rtl w:val="0"/>
        </w:rPr>
        <w:t xml:space="preserve"> Blütennektar</w:t>
      </w:r>
    </w:p>
    <w:p w:rsidR="00000000" w:rsidDel="00000000" w:rsidP="00000000" w:rsidRDefault="00000000" w:rsidRPr="00000000" w14:paraId="0000000C">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Lebensräume:</w:t>
      </w:r>
      <w:r w:rsidDel="00000000" w:rsidR="00000000" w:rsidRPr="00000000">
        <w:rPr>
          <w:rFonts w:ascii="Source Sans 3" w:cs="Source Sans 3" w:eastAsia="Source Sans 3" w:hAnsi="Source Sans 3"/>
          <w:rtl w:val="0"/>
        </w:rPr>
        <w:t xml:space="preserve"> unter anderem Waldränder, Lichtungen, Gebüsche, Hecken, lichte Wälder, Parks und Gärten</w:t>
      </w:r>
    </w:p>
    <w:p w:rsidR="00000000" w:rsidDel="00000000" w:rsidP="00000000" w:rsidRDefault="00000000" w:rsidRPr="00000000" w14:paraId="0000000D">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Besonderheit:</w:t>
      </w:r>
      <w:r w:rsidDel="00000000" w:rsidR="00000000" w:rsidRPr="00000000">
        <w:rPr>
          <w:rFonts w:ascii="Source Sans 3" w:cs="Source Sans 3" w:eastAsia="Source Sans 3" w:hAnsi="Source Sans 3"/>
          <w:rtl w:val="0"/>
        </w:rPr>
        <w:t xml:space="preserve"> einer der langlebigsten Tagfalter Mitteleuropas</w:t>
      </w:r>
      <w:r w:rsidDel="00000000" w:rsidR="00000000" w:rsidRPr="00000000">
        <w:rPr>
          <w:rtl w:val="0"/>
        </w:rPr>
      </w:r>
    </w:p>
    <w:p w:rsidR="00000000" w:rsidDel="00000000" w:rsidP="00000000" w:rsidRDefault="00000000" w:rsidRPr="00000000" w14:paraId="0000000E">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pStyle w:val="Heading2"/>
        <w:spacing w:before="400" w:lineRule="auto"/>
        <w:rPr>
          <w:rFonts w:ascii="Source Sans 3" w:cs="Source Sans 3" w:eastAsia="Source Sans 3" w:hAnsi="Source Sans 3"/>
          <w:color w:val="1c4587"/>
        </w:rPr>
      </w:pPr>
      <w:bookmarkStart w:colFirst="0" w:colLast="0" w:name="_jlwdnr05uzu" w:id="1"/>
      <w:bookmarkEnd w:id="1"/>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10">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11">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pStyle w:val="Heading2"/>
        <w:spacing w:before="400" w:lineRule="auto"/>
        <w:rPr>
          <w:rFonts w:ascii="Source Sans 3" w:cs="Source Sans 3" w:eastAsia="Source Sans 3" w:hAnsi="Source Sans 3"/>
          <w:color w:val="1c4587"/>
        </w:rPr>
      </w:pPr>
      <w:bookmarkStart w:colFirst="0" w:colLast="0" w:name="_eubbksl6ijx6" w:id="2"/>
      <w:bookmarkEnd w:id="2"/>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13">
      <w:pPr>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rtl w:val="0"/>
        </w:rPr>
        <w:t xml:space="preserve">N</w:t>
      </w:r>
      <w:r w:rsidDel="00000000" w:rsidR="00000000" w:rsidRPr="00000000">
        <w:rPr>
          <w:rFonts w:ascii="Source Sans 3" w:cs="Source Sans 3" w:eastAsia="Source Sans 3" w:hAnsi="Source Sans 3"/>
          <w:rtl w:val="0"/>
        </w:rPr>
        <w:t xml:space="preserve">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6">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7">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8" w:type="default"/>
      <w:footerReference r:id="rId9"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ind w:right="-40.8661417322827"/>
      <w:jc w:val="right"/>
      <w:rPr/>
    </w:pPr>
    <w:r w:rsidDel="00000000" w:rsidR="00000000" w:rsidRPr="00000000">
      <w:rPr/>
      <w:drawing>
        <wp:inline distB="114300" distT="114300" distL="114300" distR="114300">
          <wp:extent cx="660960" cy="6480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mailto:presse@naturgucker.de" TargetMode="External"/><Relationship Id="rId7" Type="http://schemas.openxmlformats.org/officeDocument/2006/relationships/hyperlink" Target="http://nabu-naturgucker.de/presse"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